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1020F" w14:textId="1339BC61" w:rsidR="00752C64" w:rsidRPr="00752C64" w:rsidRDefault="00752C64" w:rsidP="00752C64">
      <w:pPr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63"/>
          <w:szCs w:val="63"/>
        </w:rPr>
      </w:pPr>
      <w:r w:rsidRPr="00752C64">
        <w:rPr>
          <w:rFonts w:ascii="Georgia" w:eastAsia="Times New Roman" w:hAnsi="Georgia" w:cs="Times New Roman"/>
          <w:kern w:val="36"/>
          <w:sz w:val="63"/>
          <w:szCs w:val="63"/>
        </w:rPr>
        <w:t>What</w:t>
      </w:r>
      <w:r>
        <w:rPr>
          <w:rFonts w:ascii="Georgia" w:eastAsia="Times New Roman" w:hAnsi="Georgia" w:cs="Times New Roman"/>
          <w:kern w:val="36"/>
          <w:sz w:val="63"/>
          <w:szCs w:val="63"/>
        </w:rPr>
        <w:t xml:space="preserve"> </w:t>
      </w:r>
      <w:r w:rsidRPr="00752C64">
        <w:rPr>
          <w:rFonts w:ascii="Georgia" w:eastAsia="Times New Roman" w:hAnsi="Georgia" w:cs="Times New Roman"/>
          <w:kern w:val="36"/>
          <w:sz w:val="63"/>
          <w:szCs w:val="63"/>
        </w:rPr>
        <w:t>the</w:t>
      </w:r>
      <w:r>
        <w:rPr>
          <w:rFonts w:ascii="Georgia" w:eastAsia="Times New Roman" w:hAnsi="Georgia" w:cs="Times New Roman"/>
          <w:kern w:val="36"/>
          <w:sz w:val="63"/>
          <w:szCs w:val="63"/>
        </w:rPr>
        <w:t xml:space="preserve"> </w:t>
      </w:r>
      <w:r w:rsidRPr="00752C64">
        <w:rPr>
          <w:rFonts w:ascii="Georgia" w:eastAsia="Times New Roman" w:hAnsi="Georgia" w:cs="Times New Roman"/>
          <w:kern w:val="36"/>
          <w:sz w:val="63"/>
          <w:szCs w:val="63"/>
        </w:rPr>
        <w:t>Post</w:t>
      </w:r>
      <w:r>
        <w:rPr>
          <w:rFonts w:ascii="Georgia" w:eastAsia="Times New Roman" w:hAnsi="Georgia" w:cs="Times New Roman"/>
          <w:kern w:val="36"/>
          <w:sz w:val="63"/>
          <w:szCs w:val="63"/>
        </w:rPr>
        <w:t xml:space="preserve"> </w:t>
      </w:r>
      <w:r w:rsidRPr="00752C64">
        <w:rPr>
          <w:rFonts w:ascii="Georgia" w:eastAsia="Times New Roman" w:hAnsi="Georgia" w:cs="Times New Roman"/>
          <w:kern w:val="36"/>
          <w:sz w:val="63"/>
          <w:szCs w:val="63"/>
        </w:rPr>
        <w:t>Office’s</w:t>
      </w:r>
      <w:r>
        <w:rPr>
          <w:rFonts w:ascii="Georgia" w:eastAsia="Times New Roman" w:hAnsi="Georgia" w:cs="Times New Roman"/>
          <w:kern w:val="36"/>
          <w:sz w:val="63"/>
          <w:szCs w:val="63"/>
        </w:rPr>
        <w:t xml:space="preserve"> </w:t>
      </w:r>
      <w:r w:rsidRPr="00752C64">
        <w:rPr>
          <w:rFonts w:ascii="Georgia" w:eastAsia="Times New Roman" w:hAnsi="Georgia" w:cs="Times New Roman"/>
          <w:kern w:val="36"/>
          <w:sz w:val="63"/>
          <w:szCs w:val="63"/>
        </w:rPr>
        <w:t>Earnings</w:t>
      </w:r>
      <w:r>
        <w:rPr>
          <w:rFonts w:ascii="Georgia" w:eastAsia="Times New Roman" w:hAnsi="Georgia" w:cs="Times New Roman"/>
          <w:kern w:val="36"/>
          <w:sz w:val="63"/>
          <w:szCs w:val="63"/>
        </w:rPr>
        <w:t xml:space="preserve"> </w:t>
      </w:r>
      <w:r w:rsidRPr="00752C64">
        <w:rPr>
          <w:rFonts w:ascii="Georgia" w:eastAsia="Times New Roman" w:hAnsi="Georgia" w:cs="Times New Roman"/>
          <w:kern w:val="36"/>
          <w:sz w:val="63"/>
          <w:szCs w:val="63"/>
        </w:rPr>
        <w:t>Mean</w:t>
      </w:r>
      <w:r>
        <w:rPr>
          <w:rFonts w:ascii="Georgia" w:eastAsia="Times New Roman" w:hAnsi="Georgia" w:cs="Times New Roman"/>
          <w:kern w:val="36"/>
          <w:sz w:val="63"/>
          <w:szCs w:val="63"/>
        </w:rPr>
        <w:t xml:space="preserve"> </w:t>
      </w:r>
      <w:r w:rsidRPr="00752C64">
        <w:rPr>
          <w:rFonts w:ascii="Georgia" w:eastAsia="Times New Roman" w:hAnsi="Georgia" w:cs="Times New Roman"/>
          <w:kern w:val="36"/>
          <w:sz w:val="63"/>
          <w:szCs w:val="63"/>
        </w:rPr>
        <w:t>for</w:t>
      </w:r>
      <w:r>
        <w:rPr>
          <w:rFonts w:ascii="Georgia" w:eastAsia="Times New Roman" w:hAnsi="Georgia" w:cs="Times New Roman"/>
          <w:kern w:val="36"/>
          <w:sz w:val="63"/>
          <w:szCs w:val="63"/>
        </w:rPr>
        <w:t xml:space="preserve"> </w:t>
      </w:r>
      <w:r w:rsidRPr="00752C64">
        <w:rPr>
          <w:rFonts w:ascii="Georgia" w:eastAsia="Times New Roman" w:hAnsi="Georgia" w:cs="Times New Roman"/>
          <w:kern w:val="36"/>
          <w:sz w:val="63"/>
          <w:szCs w:val="63"/>
        </w:rPr>
        <w:t>FedEx</w:t>
      </w:r>
      <w:r>
        <w:rPr>
          <w:rFonts w:ascii="Georgia" w:eastAsia="Times New Roman" w:hAnsi="Georgia" w:cs="Times New Roman"/>
          <w:kern w:val="36"/>
          <w:sz w:val="63"/>
          <w:szCs w:val="63"/>
        </w:rPr>
        <w:t xml:space="preserve"> </w:t>
      </w:r>
      <w:r w:rsidRPr="00752C64">
        <w:rPr>
          <w:rFonts w:ascii="Georgia" w:eastAsia="Times New Roman" w:hAnsi="Georgia" w:cs="Times New Roman"/>
          <w:kern w:val="36"/>
          <w:sz w:val="63"/>
          <w:szCs w:val="63"/>
        </w:rPr>
        <w:t>and</w:t>
      </w:r>
      <w:r>
        <w:rPr>
          <w:rFonts w:ascii="Georgia" w:eastAsia="Times New Roman" w:hAnsi="Georgia" w:cs="Times New Roman"/>
          <w:kern w:val="36"/>
          <w:sz w:val="63"/>
          <w:szCs w:val="63"/>
        </w:rPr>
        <w:t xml:space="preserve"> </w:t>
      </w:r>
      <w:r w:rsidRPr="00752C64">
        <w:rPr>
          <w:rFonts w:ascii="Georgia" w:eastAsia="Times New Roman" w:hAnsi="Georgia" w:cs="Times New Roman"/>
          <w:kern w:val="36"/>
          <w:sz w:val="63"/>
          <w:szCs w:val="63"/>
        </w:rPr>
        <w:t>UPS</w:t>
      </w:r>
    </w:p>
    <w:p w14:paraId="1A89E76C" w14:textId="490EA821" w:rsidR="00752C64" w:rsidRPr="00752C64" w:rsidRDefault="00752C64" w:rsidP="0075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53BD7" w14:textId="6CBDBAE1" w:rsidR="00752C64" w:rsidRPr="00752C64" w:rsidRDefault="00752C64" w:rsidP="00752C6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6F7878"/>
          <w:sz w:val="21"/>
          <w:szCs w:val="21"/>
        </w:rPr>
      </w:pPr>
      <w:r w:rsidRPr="00752C64">
        <w:rPr>
          <w:rFonts w:ascii="Times New Roman" w:eastAsia="Times New Roman" w:hAnsi="Times New Roman" w:cs="Times New Roman"/>
          <w:color w:val="6F7878"/>
          <w:sz w:val="21"/>
          <w:szCs w:val="21"/>
          <w:bdr w:val="none" w:sz="0" w:space="0" w:color="auto" w:frame="1"/>
        </w:rPr>
        <w:t>By</w:t>
      </w:r>
      <w:r>
        <w:rPr>
          <w:rFonts w:ascii="Times New Roman" w:eastAsia="Times New Roman" w:hAnsi="Times New Roman" w:cs="Times New Roman"/>
          <w:color w:val="6F7878"/>
          <w:sz w:val="21"/>
          <w:szCs w:val="21"/>
        </w:rPr>
        <w:t xml:space="preserve"> </w:t>
      </w:r>
      <w:hyperlink r:id="rId5" w:history="1">
        <w:r w:rsidRPr="00752C64">
          <w:rPr>
            <w:rFonts w:ascii="Times New Roman" w:eastAsia="Times New Roman" w:hAnsi="Times New Roman" w:cs="Times New Roman"/>
            <w:color w:val="00B1D2"/>
            <w:sz w:val="21"/>
            <w:szCs w:val="21"/>
            <w:bdr w:val="none" w:sz="0" w:space="0" w:color="auto" w:frame="1"/>
          </w:rPr>
          <w:t>Al</w:t>
        </w:r>
        <w:r>
          <w:rPr>
            <w:rFonts w:ascii="Times New Roman" w:eastAsia="Times New Roman" w:hAnsi="Times New Roman" w:cs="Times New Roman"/>
            <w:color w:val="00B1D2"/>
            <w:sz w:val="21"/>
            <w:szCs w:val="21"/>
            <w:bdr w:val="none" w:sz="0" w:space="0" w:color="auto" w:frame="1"/>
          </w:rPr>
          <w:t xml:space="preserve"> </w:t>
        </w:r>
        <w:r w:rsidRPr="00752C64">
          <w:rPr>
            <w:rFonts w:ascii="Times New Roman" w:eastAsia="Times New Roman" w:hAnsi="Times New Roman" w:cs="Times New Roman"/>
            <w:color w:val="00B1D2"/>
            <w:sz w:val="21"/>
            <w:szCs w:val="21"/>
            <w:bdr w:val="none" w:sz="0" w:space="0" w:color="auto" w:frame="1"/>
          </w:rPr>
          <w:t>Root</w:t>
        </w:r>
      </w:hyperlink>
    </w:p>
    <w:p w14:paraId="15657110" w14:textId="18C1FDA1" w:rsidR="00752C64" w:rsidRDefault="00752C64" w:rsidP="00752C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752C64">
        <w:rPr>
          <w:rFonts w:ascii="Times New Roman" w:eastAsia="Times New Roman" w:hAnsi="Times New Roman" w:cs="Times New Roman"/>
          <w:sz w:val="27"/>
          <w:szCs w:val="27"/>
        </w:rPr>
        <w:t>Feb.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2C64">
        <w:rPr>
          <w:rFonts w:ascii="Times New Roman" w:eastAsia="Times New Roman" w:hAnsi="Times New Roman" w:cs="Times New Roman"/>
          <w:sz w:val="27"/>
          <w:szCs w:val="27"/>
        </w:rPr>
        <w:t>7,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2C64">
        <w:rPr>
          <w:rFonts w:ascii="Times New Roman" w:eastAsia="Times New Roman" w:hAnsi="Times New Roman" w:cs="Times New Roman"/>
          <w:sz w:val="27"/>
          <w:szCs w:val="27"/>
        </w:rPr>
        <w:t>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2C64">
        <w:rPr>
          <w:rFonts w:ascii="Times New Roman" w:eastAsia="Times New Roman" w:hAnsi="Times New Roman" w:cs="Times New Roman"/>
          <w:sz w:val="27"/>
          <w:szCs w:val="27"/>
        </w:rPr>
        <w:t>8:05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2C64">
        <w:rPr>
          <w:rFonts w:ascii="Times New Roman" w:eastAsia="Times New Roman" w:hAnsi="Times New Roman" w:cs="Times New Roman"/>
          <w:sz w:val="27"/>
          <w:szCs w:val="27"/>
        </w:rPr>
        <w:t>pm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2C64">
        <w:rPr>
          <w:rFonts w:ascii="Times New Roman" w:eastAsia="Times New Roman" w:hAnsi="Times New Roman" w:cs="Times New Roman"/>
          <w:sz w:val="27"/>
          <w:szCs w:val="27"/>
        </w:rPr>
        <w:t>ET</w:t>
      </w:r>
    </w:p>
    <w:p w14:paraId="18BE853C" w14:textId="77777777" w:rsidR="00752C64" w:rsidRPr="00752C64" w:rsidRDefault="00752C64" w:rsidP="00752C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14:paraId="392477EA" w14:textId="77777777" w:rsidR="00752C64" w:rsidRPr="00752C64" w:rsidRDefault="00752C6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noProof/>
          <w:color w:val="001E20"/>
          <w:sz w:val="27"/>
          <w:szCs w:val="27"/>
        </w:rPr>
        <w:drawing>
          <wp:inline distT="0" distB="0" distL="0" distR="0" wp14:anchorId="1D6D30A2" wp14:editId="00EF8202">
            <wp:extent cx="5905500" cy="39338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90EC5" w14:textId="17089F49" w:rsidR="00752C64" w:rsidRDefault="00752C6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18"/>
          <w:szCs w:val="18"/>
          <w:bdr w:val="none" w:sz="0" w:space="0" w:color="auto" w:frame="1"/>
        </w:rPr>
      </w:pPr>
      <w:r w:rsidRPr="00752C64">
        <w:rPr>
          <w:rFonts w:ascii="Helvetica" w:eastAsia="Times New Roman" w:hAnsi="Helvetica" w:cs="Times New Roman"/>
          <w:color w:val="001E20"/>
          <w:sz w:val="18"/>
          <w:szCs w:val="18"/>
          <w:bdr w:val="none" w:sz="0" w:space="0" w:color="auto" w:frame="1"/>
        </w:rPr>
        <w:t>Photograph</w:t>
      </w:r>
      <w:r>
        <w:rPr>
          <w:rFonts w:ascii="Helvetica" w:eastAsia="Times New Roman" w:hAnsi="Helvetica" w:cs="Times New Roman"/>
          <w:color w:val="001E20"/>
          <w:sz w:val="18"/>
          <w:szCs w:val="18"/>
          <w:bdr w:val="none" w:sz="0" w:space="0" w:color="auto" w:frame="1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18"/>
          <w:szCs w:val="18"/>
          <w:bdr w:val="none" w:sz="0" w:space="0" w:color="auto" w:frame="1"/>
        </w:rPr>
        <w:t>by</w:t>
      </w:r>
      <w:r>
        <w:rPr>
          <w:rFonts w:ascii="Helvetica" w:eastAsia="Times New Roman" w:hAnsi="Helvetica" w:cs="Times New Roman"/>
          <w:color w:val="001E20"/>
          <w:sz w:val="18"/>
          <w:szCs w:val="18"/>
          <w:bdr w:val="none" w:sz="0" w:space="0" w:color="auto" w:frame="1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18"/>
          <w:szCs w:val="18"/>
          <w:bdr w:val="none" w:sz="0" w:space="0" w:color="auto" w:frame="1"/>
        </w:rPr>
        <w:t>Scott</w:t>
      </w:r>
      <w:r>
        <w:rPr>
          <w:rFonts w:ascii="Helvetica" w:eastAsia="Times New Roman" w:hAnsi="Helvetica" w:cs="Times New Roman"/>
          <w:color w:val="001E20"/>
          <w:sz w:val="18"/>
          <w:szCs w:val="18"/>
          <w:bdr w:val="none" w:sz="0" w:space="0" w:color="auto" w:frame="1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18"/>
          <w:szCs w:val="18"/>
          <w:bdr w:val="none" w:sz="0" w:space="0" w:color="auto" w:frame="1"/>
        </w:rPr>
        <w:t>Olson/Getty</w:t>
      </w:r>
      <w:r>
        <w:rPr>
          <w:rFonts w:ascii="Helvetica" w:eastAsia="Times New Roman" w:hAnsi="Helvetica" w:cs="Times New Roman"/>
          <w:color w:val="001E20"/>
          <w:sz w:val="18"/>
          <w:szCs w:val="18"/>
          <w:bdr w:val="none" w:sz="0" w:space="0" w:color="auto" w:frame="1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18"/>
          <w:szCs w:val="18"/>
          <w:bdr w:val="none" w:sz="0" w:space="0" w:color="auto" w:frame="1"/>
        </w:rPr>
        <w:t>Images</w:t>
      </w:r>
    </w:p>
    <w:p w14:paraId="7F97F476" w14:textId="77777777" w:rsidR="00752C64" w:rsidRPr="00752C64" w:rsidRDefault="00752C6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</w:p>
    <w:p w14:paraId="27586F57" w14:textId="4E349BB6" w:rsidR="00752C64" w:rsidRPr="00752C64" w:rsidRDefault="00752C6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U.S.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Service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reported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another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7" w:tgtFrame="_blank" w:history="1"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quarterly</w:t>
        </w:r>
        <w:r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 xml:space="preserve"> </w:t>
        </w:r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loss</w:t>
        </w:r>
      </w:hyperlink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Thursday.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These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persistent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accounting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losses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one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reason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8" w:tgtFrame="_blank" w:history="1"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change</w:t>
        </w:r>
        <w:r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 xml:space="preserve"> </w:t>
        </w:r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might</w:t>
        </w:r>
        <w:r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 xml:space="preserve"> </w:t>
        </w:r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come</w:t>
        </w:r>
      </w:hyperlink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office—change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that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can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impact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publicly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traded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logistics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9" w:tgtFrame="_blank" w:history="1"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peers</w:t>
        </w:r>
      </w:hyperlink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including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10" w:tgtFrame="_blank" w:history="1"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FedEx</w:t>
        </w:r>
      </w:hyperlink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11" w:tgtFrame="_blank" w:history="1"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United</w:t>
        </w:r>
        <w:r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 xml:space="preserve"> </w:t>
        </w:r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Parcel</w:t>
        </w:r>
        <w:r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 xml:space="preserve"> </w:t>
        </w:r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Service</w:t>
        </w:r>
      </w:hyperlink>
      <w:r w:rsidRPr="00752C64">
        <w:rPr>
          <w:rFonts w:ascii="Helvetica" w:eastAsia="Times New Roman" w:hAnsi="Helvetica" w:cs="Times New Roman"/>
          <w:color w:val="001E20"/>
          <w:sz w:val="27"/>
          <w:szCs w:val="27"/>
          <w:bdr w:val="none" w:sz="0" w:space="0" w:color="auto" w:frame="1"/>
        </w:rPr>
        <w:t>.</w:t>
      </w:r>
    </w:p>
    <w:p w14:paraId="0C73D6E2" w14:textId="07E5B2DD" w:rsidR="00752C64" w:rsidRPr="00752C64" w:rsidRDefault="00752C6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</w:p>
    <w:p w14:paraId="5EE4DBB7" w14:textId="3A826DF8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$748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million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from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$19.4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billion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sales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during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fourth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quarter.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(The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fourth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calendar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quarter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first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fiscal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quarter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office.)</w:t>
      </w:r>
    </w:p>
    <w:p w14:paraId="0CCDDADE" w14:textId="712FFE6F" w:rsidR="00752C64" w:rsidRDefault="00752C6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lastRenderedPageBreak/>
        <w:t>There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no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analyst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estimates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compare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sales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earnings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against.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No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one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covers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publicly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traded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logistics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providers.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But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12" w:tgtFrame="_blank" w:history="1"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matters</w:t>
        </w:r>
      </w:hyperlink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—or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should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matter—</w:t>
      </w:r>
      <w:hyperlink r:id="rId13" w:tgtFrame="_blank" w:history="1"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to</w:t>
        </w:r>
        <w:r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 xml:space="preserve"> </w:t>
        </w:r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investors</w:t>
        </w:r>
      </w:hyperlink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.</w:t>
      </w:r>
    </w:p>
    <w:p w14:paraId="5940ECF2" w14:textId="77777777" w:rsidR="00344734" w:rsidRPr="00752C64" w:rsidRDefault="0034473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</w:p>
    <w:p w14:paraId="505232E4" w14:textId="2ACEED3C" w:rsidR="00752C64" w:rsidRDefault="00752C6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starters,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it’s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big.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Logistics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peers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14" w:tgtFrame="_blank" w:history="1"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UPS</w:t>
        </w:r>
      </w:hyperlink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(ticker: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UPS)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FedEx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(FDX)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generated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$20.6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billion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$17.3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billion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sales,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respectively,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during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their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recently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reported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quarters.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That’s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proofErr w:type="gramStart"/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similar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proofErr w:type="gramEnd"/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what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office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generates.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Actions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takes—such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pricing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investment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decisions—impact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entire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U.S.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logistics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network.</w:t>
      </w:r>
    </w:p>
    <w:p w14:paraId="5F6FF129" w14:textId="77777777" w:rsidR="00344734" w:rsidRPr="00752C64" w:rsidRDefault="0034473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</w:p>
    <w:p w14:paraId="7C77302A" w14:textId="602EBB91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What’s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more,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package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volume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numbers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important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data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point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e-commerce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industry.</w:t>
      </w:r>
    </w:p>
    <w:p w14:paraId="037FA536" w14:textId="3580905F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office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package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volumes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declined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about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5%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year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over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year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during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final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quarter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2019.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decline,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however,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doesn’t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mean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consumers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weren’t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spending.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Instead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proofErr w:type="gramStart"/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reflection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</w:t>
      </w:r>
      <w:proofErr w:type="gramEnd"/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insourcing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volumes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customers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who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once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USPS.</w:t>
      </w:r>
    </w:p>
    <w:p w14:paraId="52F1B619" w14:textId="14397237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office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wouldn’t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comment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which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customers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insourcing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volume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what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e-commerce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pricing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was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doing.</w:t>
      </w:r>
    </w:p>
    <w:p w14:paraId="1DE3C0BD" w14:textId="594B4440" w:rsidR="00752C64" w:rsidRDefault="0034473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hyperlink r:id="rId15" w:tgtFrame="_blank" w:history="1">
        <w:r w:rsidR="00752C64"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Amazon.com</w:t>
        </w:r>
      </w:hyperlink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(AMZN)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and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FedEx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are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companies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most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stakeholders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point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when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identifying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reason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lost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volumes.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FedEx,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its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part,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16" w:tgtFrame="_blank" w:history="1">
        <w:r w:rsidR="00752C64"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announced</w:t>
        </w:r>
      </w:hyperlink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May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2019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it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was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taking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back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“</w:t>
      </w:r>
      <w:proofErr w:type="spellStart"/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SmartPost</w:t>
      </w:r>
      <w:proofErr w:type="spellEnd"/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”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volumes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formerly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delivered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 w:rsidR="00752C64"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="00752C64"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USPS.</w:t>
      </w:r>
    </w:p>
    <w:p w14:paraId="37863952" w14:textId="77777777" w:rsidR="00344734" w:rsidRPr="00752C64" w:rsidRDefault="0034473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</w:p>
    <w:p w14:paraId="64F65569" w14:textId="77777777" w:rsidR="00344734" w:rsidRDefault="00752C6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USPS’s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volume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declines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evidence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that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last-mile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17" w:tgtFrame="_blank" w:history="1"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delivery</w:t>
        </w:r>
        <w:r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 xml:space="preserve"> </w:t>
        </w:r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war</w:t>
        </w:r>
      </w:hyperlink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still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hot.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Everyone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from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Amazon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18" w:tgtFrame="_blank" w:history="1"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Walmart</w:t>
        </w:r>
      </w:hyperlink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(WMT)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19" w:tgtFrame="_blank" w:history="1"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want</w:t>
        </w:r>
        <w:r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 xml:space="preserve"> </w:t>
        </w:r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to</w:t>
        </w:r>
        <w:r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 xml:space="preserve"> </w:t>
        </w:r>
        <w:r w:rsidRPr="00752C64">
          <w:rPr>
            <w:rFonts w:ascii="Helvetica" w:eastAsia="Times New Roman" w:hAnsi="Helvetica" w:cs="Times New Roman"/>
            <w:color w:val="2FAFCD"/>
            <w:sz w:val="27"/>
            <w:szCs w:val="27"/>
            <w:u w:val="single"/>
          </w:rPr>
          <w:t>deliver</w:t>
        </w:r>
      </w:hyperlink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e-commerce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packages.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key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winning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war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have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enough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volume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spread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over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consumer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delivery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network.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That’s,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presumably,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why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FedEx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took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back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“</w:t>
      </w:r>
      <w:proofErr w:type="spellStart"/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SmartPost</w:t>
      </w:r>
      <w:proofErr w:type="spellEnd"/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”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volumes.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 </w:t>
      </w:r>
    </w:p>
    <w:p w14:paraId="41C7FD1B" w14:textId="77777777" w:rsidR="00344734" w:rsidRDefault="0034473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</w:p>
    <w:p w14:paraId="6FC797D8" w14:textId="3045C00A" w:rsidR="00752C64" w:rsidRDefault="00752C6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Volume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competition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bad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industry,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but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package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sales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grew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about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2%.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Pricing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up.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What’s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more,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CEO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Brennan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indicated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office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would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continue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increase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prices,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where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could,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help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offset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losses.</w:t>
      </w:r>
    </w:p>
    <w:p w14:paraId="7EE50131" w14:textId="77777777" w:rsidR="00344734" w:rsidRPr="00752C64" w:rsidRDefault="0034473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</w:p>
    <w:p w14:paraId="571938C5" w14:textId="05B58AE7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That’s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positive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industry.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Increasing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package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pricing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one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sign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that—while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competitive—e-commerce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delivery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players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tethered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economic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reality.</w:t>
      </w:r>
    </w:p>
    <w:p w14:paraId="7DA3CEC8" w14:textId="7E592D04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lastRenderedPageBreak/>
        <w:t>Those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immediate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impacts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numbers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have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publicly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traded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players.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proofErr w:type="gramStart"/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longer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term</w:t>
      </w:r>
      <w:proofErr w:type="gramEnd"/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competitiveness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office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matters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too.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Its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ability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invest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grow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part,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restricted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unique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accounting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rules.</w:t>
      </w:r>
    </w:p>
    <w:p w14:paraId="1040BA1B" w14:textId="37CDA311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loss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always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looks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larger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than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would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publicly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traded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firm.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Congress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mandates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pre-fund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retiree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health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care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obligations.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Those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aren’t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pensions;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U.S.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firms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pre-fund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pensions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law.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Health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care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benefits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funded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pay-as-you-go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basis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proofErr w:type="gramStart"/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vast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majority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</w:t>
      </w:r>
      <w:proofErr w:type="gramEnd"/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firms.</w:t>
      </w:r>
    </w:p>
    <w:p w14:paraId="1E306392" w14:textId="06CDE1AC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retiree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accounting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treatment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continues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sore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spot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stakeholders.</w:t>
      </w:r>
    </w:p>
    <w:p w14:paraId="41688FA3" w14:textId="326BB288" w:rsidR="00752C64" w:rsidRDefault="00752C6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“The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Service’s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financial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report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first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quarter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fiscal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2020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underlines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need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congressional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action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common-sense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legislative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reform,”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said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National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Association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Letter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Carriers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President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Fredric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Rolando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emailed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statement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i/>
          <w:iCs/>
          <w:color w:val="001E20"/>
          <w:sz w:val="27"/>
          <w:szCs w:val="27"/>
          <w:bdr w:val="none" w:sz="0" w:space="0" w:color="auto" w:frame="1"/>
        </w:rPr>
        <w:t>Barron’s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“The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entire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first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quarter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loss—$748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million—stems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from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unfair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obligation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placed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Service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Congress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2006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pre-fund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[health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benefits]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advance.”</w:t>
      </w:r>
    </w:p>
    <w:p w14:paraId="68ACDD73" w14:textId="77777777" w:rsidR="00344734" w:rsidRPr="00752C64" w:rsidRDefault="0034473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</w:p>
    <w:p w14:paraId="635B3183" w14:textId="65D913FA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accounting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change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doesn’t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impact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reported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cash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flow,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but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Congress’s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accounting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treatment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does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matter.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Congress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wants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cash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flow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preferentially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diverted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benefits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instead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say,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investment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technologies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make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even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more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efficient.</w:t>
      </w:r>
    </w:p>
    <w:p w14:paraId="3C874B80" w14:textId="4AB88102" w:rsidR="00752C64" w:rsidRDefault="00752C6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comparable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number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20" w:history="1"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S&amp;P</w:t>
        </w:r>
        <w:r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 xml:space="preserve"> </w:t>
        </w:r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500</w:t>
        </w:r>
      </w:hyperlink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companies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roughly,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$1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trillion.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If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rules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governing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office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governed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hyperlink r:id="rId21" w:history="1"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S&amp;P</w:t>
        </w:r>
        <w:r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 xml:space="preserve"> </w:t>
        </w:r>
        <w:r w:rsidRPr="00752C64">
          <w:rPr>
            <w:rFonts w:ascii="Helvetica" w:eastAsia="Times New Roman" w:hAnsi="Helvetica" w:cs="Times New Roman"/>
            <w:color w:val="001E20"/>
            <w:sz w:val="27"/>
            <w:szCs w:val="27"/>
            <w:u w:val="single"/>
            <w:shd w:val="clear" w:color="auto" w:fill="E5F7FB"/>
          </w:rPr>
          <w:t>500</w:t>
        </w:r>
      </w:hyperlink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its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member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companies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would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have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raise,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very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roughly,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$1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trillion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pre-fund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proofErr w:type="spellStart"/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retirement</w:t>
      </w:r>
      <w:proofErr w:type="spellEnd"/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benefits.</w:t>
      </w:r>
    </w:p>
    <w:p w14:paraId="233A09B6" w14:textId="77777777" w:rsidR="00344734" w:rsidRPr="00752C64" w:rsidRDefault="00344734" w:rsidP="00752C64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</w:p>
    <w:p w14:paraId="2D685055" w14:textId="018A0EBD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math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complicated.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Prefunding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with,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say,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debt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would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cut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cash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expenses—the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annual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benefits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paid—while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raising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interest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expenses—incurred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form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new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debt.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theory,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little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changes.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But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high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debt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levels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would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influence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debt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ratings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investment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decisions.</w:t>
      </w:r>
    </w:p>
    <w:p w14:paraId="15DE96C3" w14:textId="1AD77F75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proofErr w:type="gramStart"/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</w:t>
      </w:r>
      <w:proofErr w:type="gramEnd"/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also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psychological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impact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reporting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losses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has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USPS.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can’t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easy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constantly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refer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large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losses.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Especially</w:t>
      </w:r>
      <w:bookmarkStart w:id="0" w:name="_GoBack"/>
      <w:bookmarkEnd w:id="0"/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when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losses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aren’t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large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people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think.</w:t>
      </w:r>
    </w:p>
    <w:p w14:paraId="174A6E11" w14:textId="1E3505C5" w:rsidR="00752C64" w:rsidRPr="00752C64" w:rsidRDefault="00752C64" w:rsidP="00752C64">
      <w:pPr>
        <w:spacing w:after="375" w:line="240" w:lineRule="auto"/>
        <w:textAlignment w:val="baseline"/>
        <w:rPr>
          <w:rFonts w:ascii="Helvetica" w:eastAsia="Times New Roman" w:hAnsi="Helvetica" w:cs="Times New Roman"/>
          <w:color w:val="001E20"/>
          <w:sz w:val="27"/>
          <w:szCs w:val="27"/>
        </w:rPr>
      </w:pP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lastRenderedPageBreak/>
        <w:t>And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office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has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universal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service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mandate.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Americans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get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their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proofErr w:type="gramStart"/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first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class</w:t>
      </w:r>
      <w:proofErr w:type="gramEnd"/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mail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forever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stamp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no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matter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where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live.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And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price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of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the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stamp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on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that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mail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is,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essentially,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set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by</w:t>
      </w:r>
      <w:r>
        <w:rPr>
          <w:rFonts w:ascii="Helvetica" w:eastAsia="Times New Roman" w:hAnsi="Helvetica" w:cs="Times New Roman"/>
          <w:color w:val="001E20"/>
          <w:sz w:val="27"/>
          <w:szCs w:val="27"/>
        </w:rPr>
        <w:t xml:space="preserve"> </w:t>
      </w:r>
      <w:r w:rsidRPr="00752C64">
        <w:rPr>
          <w:rFonts w:ascii="Helvetica" w:eastAsia="Times New Roman" w:hAnsi="Helvetica" w:cs="Times New Roman"/>
          <w:color w:val="001E20"/>
          <w:sz w:val="27"/>
          <w:szCs w:val="27"/>
        </w:rPr>
        <w:t>politicians.</w:t>
      </w:r>
    </w:p>
    <w:p w14:paraId="272EAE1A" w14:textId="77777777" w:rsidR="00752C64" w:rsidRDefault="00752C64"/>
    <w:sectPr w:rsidR="00752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A2FCE"/>
    <w:multiLevelType w:val="multilevel"/>
    <w:tmpl w:val="60D4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106D6"/>
    <w:multiLevelType w:val="multilevel"/>
    <w:tmpl w:val="DB1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64"/>
    <w:rsid w:val="00344734"/>
    <w:rsid w:val="0075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0AA2"/>
  <w15:chartTrackingRefBased/>
  <w15:docId w15:val="{AB3C89CC-FFE3-4A06-989D-4E329EC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4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8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14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9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9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8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rons.com/articles/usps-posts-huge-loss-51573750027?mod=article_inline" TargetMode="External"/><Relationship Id="rId13" Type="http://schemas.openxmlformats.org/officeDocument/2006/relationships/hyperlink" Target="https://www.barrons.com/articles/universal-postal-union-fedex-ups-amazon-post-office-china-51569020764?mod=article_inline" TargetMode="External"/><Relationship Id="rId18" Type="http://schemas.openxmlformats.org/officeDocument/2006/relationships/hyperlink" Target="https://www.barrons.com/quote/WM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arrons.com/quote/index/SPX" TargetMode="External"/><Relationship Id="rId7" Type="http://schemas.openxmlformats.org/officeDocument/2006/relationships/hyperlink" Target="https://about.usps.com/newsroom/national-releases/2020/0206-usps-reports-first-quarter-fiscal-2020-results.htm?mod=article_inline" TargetMode="External"/><Relationship Id="rId12" Type="http://schemas.openxmlformats.org/officeDocument/2006/relationships/hyperlink" Target="https://www.barrons.com/articles/the-post-office-has-a-lesson-for-corporate-america-51572543976?mod=article_inline" TargetMode="External"/><Relationship Id="rId17" Type="http://schemas.openxmlformats.org/officeDocument/2006/relationships/hyperlink" Target="https://www.barrons.com/articles/fedex-ups-usps-stocks-competition-opportunity-for-investors-51576279752?mod=article_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stors.fedex.com/news-and-events/investor-news/news-release-details/2019/FedEx-Ground-Announces-Seven-Day-Residential-Delivery-Year-Round/default.aspx?mod=article_inline" TargetMode="External"/><Relationship Id="rId20" Type="http://schemas.openxmlformats.org/officeDocument/2006/relationships/hyperlink" Target="https://www.barrons.com/quote/index/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arrons.com/quote/UPS" TargetMode="External"/><Relationship Id="rId5" Type="http://schemas.openxmlformats.org/officeDocument/2006/relationships/hyperlink" Target="https://www.barrons.com/authors/8578?mod=article_byline" TargetMode="External"/><Relationship Id="rId15" Type="http://schemas.openxmlformats.org/officeDocument/2006/relationships/hyperlink" Target="https://www.barrons.com/quote/AMZ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arrons.com/quote/FDX" TargetMode="External"/><Relationship Id="rId19" Type="http://schemas.openxmlformats.org/officeDocument/2006/relationships/hyperlink" Target="https://www.barrons.com/articles/walmart-has-a-dog-problem-the-usps-has-advice-to-unleash-51574275696?mod=article_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rons.com/articles/what-the-u-s-postal-services-big-loss-means-for-fedex-and-ups-51565603114?mod=article_inline" TargetMode="External"/><Relationship Id="rId14" Type="http://schemas.openxmlformats.org/officeDocument/2006/relationships/hyperlink" Target="https://www.barrons.com/quote/UP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Carlitti</dc:creator>
  <cp:keywords/>
  <dc:description/>
  <cp:lastModifiedBy>Roman Carlitti</cp:lastModifiedBy>
  <cp:revision>2</cp:revision>
  <dcterms:created xsi:type="dcterms:W3CDTF">2020-02-12T19:48:00Z</dcterms:created>
  <dcterms:modified xsi:type="dcterms:W3CDTF">2020-02-12T19:48:00Z</dcterms:modified>
</cp:coreProperties>
</file>